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544" w:rsidRPr="006D4D3B" w:rsidRDefault="00857279" w:rsidP="00B04E1B">
      <w:pPr>
        <w:tabs>
          <w:tab w:val="decimal" w:pos="360"/>
          <w:tab w:val="left" w:pos="540"/>
          <w:tab w:val="left" w:pos="720"/>
          <w:tab w:val="left" w:pos="990"/>
        </w:tabs>
        <w:jc w:val="center"/>
        <w:rPr>
          <w:b/>
        </w:rPr>
      </w:pPr>
      <w:r>
        <w:rPr>
          <w:b/>
        </w:rPr>
        <w:t>APPLICATIONS PROCEDUR</w:t>
      </w:r>
      <w:r w:rsidR="00016F05">
        <w:rPr>
          <w:b/>
        </w:rPr>
        <w:t>E</w:t>
      </w:r>
      <w:r>
        <w:rPr>
          <w:b/>
        </w:rPr>
        <w:t>S BY REVIEW TYPE</w:t>
      </w:r>
    </w:p>
    <w:p w:rsidR="006D4D3B" w:rsidRDefault="006D4D3B" w:rsidP="00812544">
      <w:pPr>
        <w:tabs>
          <w:tab w:val="decimal" w:pos="360"/>
          <w:tab w:val="left" w:pos="540"/>
          <w:tab w:val="left" w:pos="720"/>
          <w:tab w:val="left" w:pos="990"/>
        </w:tabs>
      </w:pPr>
      <w:bookmarkStart w:id="0" w:name="_GoBack"/>
      <w:bookmarkEnd w:id="0"/>
    </w:p>
    <w:p w:rsidR="00812544" w:rsidRDefault="00812544" w:rsidP="00812544">
      <w:pPr>
        <w:tabs>
          <w:tab w:val="decimal" w:pos="360"/>
          <w:tab w:val="left" w:pos="540"/>
          <w:tab w:val="left" w:pos="720"/>
          <w:tab w:val="left" w:pos="990"/>
        </w:tabs>
      </w:pPr>
      <w:r>
        <w:rPr>
          <w:u w:val="single"/>
        </w:rPr>
        <w:t>EXEMPTED REVIEW</w:t>
      </w:r>
    </w:p>
    <w:p w:rsidR="00812544" w:rsidRDefault="00812544" w:rsidP="00812544">
      <w:pPr>
        <w:tabs>
          <w:tab w:val="decimal" w:pos="360"/>
          <w:tab w:val="left" w:pos="540"/>
          <w:tab w:val="left" w:pos="720"/>
          <w:tab w:val="left" w:pos="990"/>
        </w:tabs>
      </w:pPr>
      <w:r>
        <w:t xml:space="preserve">There are several cases </w:t>
      </w:r>
      <w:r w:rsidR="003475D2">
        <w:t>that</w:t>
      </w:r>
      <w:r>
        <w:t xml:space="preserve"> may “exempt” your protocol from </w:t>
      </w:r>
      <w:r>
        <w:rPr>
          <w:u w:val="single"/>
        </w:rPr>
        <w:t>full</w:t>
      </w:r>
      <w:r>
        <w:t xml:space="preserve"> IRB review.  If you request an exemption, you need to submit </w:t>
      </w:r>
      <w:r>
        <w:rPr>
          <w:u w:val="single"/>
        </w:rPr>
        <w:t>ONE</w:t>
      </w:r>
      <w:r w:rsidR="00787C37">
        <w:t xml:space="preserve"> copy of the application</w:t>
      </w:r>
      <w:r w:rsidR="00B04E1B">
        <w:t>, the research protocol, and consent form</w:t>
      </w:r>
      <w:r w:rsidR="00787C37">
        <w:t xml:space="preserve">. On the application form, select one of the categories below. </w:t>
      </w:r>
      <w:r>
        <w:t>The following categories are exempt from full review:</w:t>
      </w:r>
    </w:p>
    <w:p w:rsidR="00812544" w:rsidRDefault="00812544" w:rsidP="00812544">
      <w:pPr>
        <w:tabs>
          <w:tab w:val="decimal" w:pos="360"/>
          <w:tab w:val="left" w:pos="540"/>
          <w:tab w:val="left" w:pos="720"/>
          <w:tab w:val="left" w:pos="990"/>
        </w:tabs>
      </w:pPr>
    </w:p>
    <w:tbl>
      <w:tblPr>
        <w:tblStyle w:val="TableGrid"/>
        <w:tblW w:w="0" w:type="auto"/>
        <w:tblInd w:w="-5" w:type="dxa"/>
        <w:tblLook w:val="04A0" w:firstRow="1" w:lastRow="0" w:firstColumn="1" w:lastColumn="0" w:noHBand="0" w:noVBand="1"/>
      </w:tblPr>
      <w:tblGrid>
        <w:gridCol w:w="5204"/>
        <w:gridCol w:w="4151"/>
      </w:tblGrid>
      <w:tr w:rsidR="00070536" w:rsidRPr="004B3DC0" w:rsidTr="00787C37">
        <w:tc>
          <w:tcPr>
            <w:tcW w:w="5204" w:type="dxa"/>
          </w:tcPr>
          <w:p w:rsidR="00070536" w:rsidRPr="00070536" w:rsidRDefault="00070536" w:rsidP="00070536">
            <w:pPr>
              <w:spacing w:before="100" w:after="100"/>
              <w:rPr>
                <w:b/>
              </w:rPr>
            </w:pPr>
            <w:r w:rsidRPr="00070536">
              <w:rPr>
                <w:b/>
              </w:rPr>
              <w:t>Exemption Category Description</w:t>
            </w:r>
          </w:p>
        </w:tc>
        <w:tc>
          <w:tcPr>
            <w:tcW w:w="4151" w:type="dxa"/>
          </w:tcPr>
          <w:p w:rsidR="00070536" w:rsidRPr="00070536" w:rsidRDefault="00070536" w:rsidP="004B3DC0">
            <w:pPr>
              <w:spacing w:before="100" w:after="100"/>
              <w:rPr>
                <w:b/>
              </w:rPr>
            </w:pPr>
            <w:r w:rsidRPr="00070536">
              <w:rPr>
                <w:b/>
              </w:rPr>
              <w:t>Conditions/Allowances/Limitations</w:t>
            </w:r>
          </w:p>
        </w:tc>
      </w:tr>
      <w:tr w:rsidR="004B3DC0" w:rsidRPr="004B3DC0" w:rsidTr="00787C37">
        <w:tc>
          <w:tcPr>
            <w:tcW w:w="5204" w:type="dxa"/>
          </w:tcPr>
          <w:p w:rsidR="004B3DC0" w:rsidRPr="00610D04" w:rsidRDefault="00070536" w:rsidP="00E350F7">
            <w:pPr>
              <w:numPr>
                <w:ilvl w:val="0"/>
                <w:numId w:val="12"/>
              </w:numPr>
              <w:spacing w:before="100" w:after="100"/>
              <w:ind w:left="0" w:firstLine="0"/>
              <w:rPr>
                <w:rFonts w:ascii="Arial" w:hAnsi="Arial" w:cs="Arial"/>
                <w:sz w:val="20"/>
              </w:rPr>
            </w:pPr>
            <w:r w:rsidRPr="00610D04">
              <w:rPr>
                <w:rFonts w:ascii="Arial" w:hAnsi="Arial" w:cs="Arial"/>
                <w:color w:val="000000"/>
                <w:sz w:val="20"/>
                <w:shd w:val="clear" w:color="auto" w:fill="FFFFFF"/>
              </w:rPr>
              <w:t>Research, conducted in established or commonly accepted educational settings</w:t>
            </w:r>
            <w:r w:rsidR="004B3DC0" w:rsidRPr="00610D04">
              <w:rPr>
                <w:rFonts w:ascii="Arial" w:hAnsi="Arial" w:cs="Arial"/>
                <w:sz w:val="20"/>
              </w:rPr>
              <w:t>;</w:t>
            </w:r>
          </w:p>
        </w:tc>
        <w:tc>
          <w:tcPr>
            <w:tcW w:w="4151" w:type="dxa"/>
          </w:tcPr>
          <w:p w:rsidR="004B3DC0" w:rsidRPr="00610D04" w:rsidRDefault="00070536" w:rsidP="004B3DC0">
            <w:pPr>
              <w:spacing w:before="100" w:after="100"/>
              <w:rPr>
                <w:rFonts w:ascii="Arial" w:hAnsi="Arial" w:cs="Arial"/>
                <w:sz w:val="20"/>
              </w:rPr>
            </w:pPr>
            <w:r w:rsidRPr="00610D04">
              <w:rPr>
                <w:rFonts w:ascii="Arial" w:hAnsi="Arial" w:cs="Arial"/>
                <w:color w:val="000000"/>
                <w:sz w:val="20"/>
                <w:shd w:val="clear" w:color="auto" w:fill="FFFFFF"/>
              </w:rPr>
              <w:t xml:space="preserve">Not likely to adversely </w:t>
            </w:r>
            <w:proofErr w:type="gramStart"/>
            <w:r w:rsidRPr="00610D04">
              <w:rPr>
                <w:rFonts w:ascii="Arial" w:hAnsi="Arial" w:cs="Arial"/>
                <w:color w:val="000000"/>
                <w:sz w:val="20"/>
                <w:shd w:val="clear" w:color="auto" w:fill="FFFFFF"/>
              </w:rPr>
              <w:t>impact</w:t>
            </w:r>
            <w:proofErr w:type="gramEnd"/>
            <w:r w:rsidRPr="00610D04">
              <w:rPr>
                <w:rFonts w:ascii="Arial" w:hAnsi="Arial" w:cs="Arial"/>
                <w:color w:val="000000"/>
                <w:sz w:val="20"/>
                <w:shd w:val="clear" w:color="auto" w:fill="FFFFFF"/>
              </w:rPr>
              <w:t xml:space="preserve"> students' opportunity to learn required educational content or the assessment of educators who provide instruction. </w:t>
            </w:r>
          </w:p>
        </w:tc>
      </w:tr>
      <w:tr w:rsidR="004B3DC0" w:rsidRPr="004B3DC0" w:rsidTr="00787C37">
        <w:tc>
          <w:tcPr>
            <w:tcW w:w="5204" w:type="dxa"/>
          </w:tcPr>
          <w:p w:rsidR="004B3DC0" w:rsidRPr="00610D04" w:rsidRDefault="00070536" w:rsidP="00E350F7">
            <w:pPr>
              <w:numPr>
                <w:ilvl w:val="0"/>
                <w:numId w:val="13"/>
              </w:numPr>
              <w:spacing w:before="100" w:after="100"/>
              <w:ind w:left="0" w:firstLine="0"/>
              <w:rPr>
                <w:rFonts w:ascii="Arial" w:hAnsi="Arial" w:cs="Arial"/>
                <w:sz w:val="20"/>
              </w:rPr>
            </w:pPr>
            <w:r w:rsidRPr="00610D04">
              <w:rPr>
                <w:rFonts w:ascii="Arial" w:hAnsi="Arial" w:cs="Arial"/>
                <w:color w:val="000000"/>
                <w:sz w:val="20"/>
                <w:shd w:val="clear" w:color="auto" w:fill="FFFFFF"/>
              </w:rPr>
              <w:t>Research that only includes interactions involving educational tests (cognitive, diagnostic, aptitude, achievement), survey procedures, interview procedures, or observation of public behavior (including visual or auditory recording)</w:t>
            </w:r>
            <w:r w:rsidR="004B3DC0" w:rsidRPr="00610D04">
              <w:rPr>
                <w:rFonts w:ascii="Arial" w:hAnsi="Arial" w:cs="Arial"/>
                <w:sz w:val="20"/>
              </w:rPr>
              <w:t>;</w:t>
            </w:r>
          </w:p>
        </w:tc>
        <w:tc>
          <w:tcPr>
            <w:tcW w:w="4151" w:type="dxa"/>
          </w:tcPr>
          <w:p w:rsidR="004B3DC0" w:rsidRPr="00610D04" w:rsidRDefault="00070536" w:rsidP="00FA7468">
            <w:pPr>
              <w:spacing w:before="100" w:after="100"/>
              <w:rPr>
                <w:rFonts w:ascii="Arial" w:hAnsi="Arial" w:cs="Arial"/>
                <w:sz w:val="20"/>
              </w:rPr>
            </w:pPr>
            <w:r w:rsidRPr="00610D04">
              <w:rPr>
                <w:rFonts w:ascii="Arial" w:hAnsi="Arial" w:cs="Arial"/>
                <w:sz w:val="20"/>
              </w:rPr>
              <w:t>Recorded information cannot readily identify the subject or any disclosure of responses outside of the research would not reasonably place subject at risk.</w:t>
            </w:r>
            <w:r w:rsidR="00FA7468">
              <w:rPr>
                <w:rFonts w:ascii="Arial" w:hAnsi="Arial" w:cs="Arial"/>
                <w:sz w:val="20"/>
              </w:rPr>
              <w:t xml:space="preserve"> No children.</w:t>
            </w:r>
          </w:p>
        </w:tc>
      </w:tr>
      <w:tr w:rsidR="004B3DC0" w:rsidRPr="004B3DC0" w:rsidTr="00787C37">
        <w:tc>
          <w:tcPr>
            <w:tcW w:w="5204" w:type="dxa"/>
          </w:tcPr>
          <w:p w:rsidR="004B3DC0" w:rsidRPr="00610D04" w:rsidRDefault="00070536" w:rsidP="00FA7468">
            <w:pPr>
              <w:numPr>
                <w:ilvl w:val="0"/>
                <w:numId w:val="14"/>
              </w:numPr>
              <w:spacing w:before="100" w:after="100"/>
              <w:ind w:left="0" w:firstLine="0"/>
              <w:rPr>
                <w:rFonts w:ascii="Arial" w:hAnsi="Arial" w:cs="Arial"/>
                <w:sz w:val="20"/>
              </w:rPr>
            </w:pPr>
            <w:r w:rsidRPr="00610D04">
              <w:rPr>
                <w:rFonts w:ascii="Arial" w:hAnsi="Arial" w:cs="Arial"/>
                <w:color w:val="000000"/>
                <w:sz w:val="20"/>
                <w:shd w:val="clear" w:color="auto" w:fill="FFFFFF"/>
              </w:rPr>
              <w:t>Research involving benign behavioral interventions (BBI) in conjunction with the collection of information from an adult subject through verbal or written responses (including data entry) or audiovisual recording if the subject prospectively agrees to the interven</w:t>
            </w:r>
            <w:r w:rsidR="00560BD1">
              <w:rPr>
                <w:rFonts w:ascii="Arial" w:hAnsi="Arial" w:cs="Arial"/>
                <w:color w:val="000000"/>
                <w:sz w:val="20"/>
                <w:shd w:val="clear" w:color="auto" w:fill="FFFFFF"/>
              </w:rPr>
              <w:t>tion and information collection;</w:t>
            </w:r>
          </w:p>
        </w:tc>
        <w:tc>
          <w:tcPr>
            <w:tcW w:w="4151" w:type="dxa"/>
          </w:tcPr>
          <w:p w:rsidR="004B3DC0" w:rsidRPr="00610D04" w:rsidRDefault="00070536" w:rsidP="004B3DC0">
            <w:pPr>
              <w:spacing w:before="100" w:after="100"/>
              <w:rPr>
                <w:rFonts w:ascii="Arial" w:hAnsi="Arial" w:cs="Arial"/>
                <w:sz w:val="20"/>
              </w:rPr>
            </w:pPr>
            <w:r w:rsidRPr="00610D04">
              <w:rPr>
                <w:rFonts w:ascii="Arial" w:hAnsi="Arial" w:cs="Arial"/>
                <w:sz w:val="20"/>
              </w:rPr>
              <w:t>Recorded information cannot readily identify the subject or any disclosure of responses outside of the research would not reasonably place subject at risk.</w:t>
            </w:r>
          </w:p>
          <w:p w:rsidR="00105711" w:rsidRPr="00610D04" w:rsidRDefault="00070536" w:rsidP="004B3DC0">
            <w:pPr>
              <w:spacing w:before="100" w:after="100"/>
              <w:rPr>
                <w:rFonts w:ascii="Arial" w:hAnsi="Arial" w:cs="Arial"/>
                <w:sz w:val="20"/>
              </w:rPr>
            </w:pPr>
            <w:r w:rsidRPr="00610D04">
              <w:rPr>
                <w:rFonts w:ascii="Arial" w:hAnsi="Arial" w:cs="Arial"/>
                <w:sz w:val="20"/>
              </w:rPr>
              <w:t>May not include medical interventions. Subject prospectively agrees.</w:t>
            </w:r>
          </w:p>
          <w:p w:rsidR="00070536" w:rsidRPr="00610D04" w:rsidRDefault="00070536" w:rsidP="004B3DC0">
            <w:pPr>
              <w:spacing w:before="100" w:after="100"/>
              <w:rPr>
                <w:rFonts w:ascii="Arial" w:hAnsi="Arial" w:cs="Arial"/>
                <w:sz w:val="20"/>
              </w:rPr>
            </w:pPr>
            <w:r w:rsidRPr="00610D04">
              <w:rPr>
                <w:rFonts w:ascii="Arial" w:hAnsi="Arial" w:cs="Arial"/>
                <w:sz w:val="20"/>
              </w:rPr>
              <w:t>BBI must be:</w:t>
            </w:r>
          </w:p>
          <w:p w:rsidR="00070536" w:rsidRPr="00610D04" w:rsidRDefault="00070536" w:rsidP="00070536">
            <w:pPr>
              <w:pStyle w:val="ListParagraph"/>
              <w:numPr>
                <w:ilvl w:val="0"/>
                <w:numId w:val="18"/>
              </w:numPr>
              <w:spacing w:before="100" w:after="100"/>
              <w:rPr>
                <w:rFonts w:ascii="Arial" w:hAnsi="Arial" w:cs="Arial"/>
                <w:sz w:val="20"/>
              </w:rPr>
            </w:pPr>
            <w:r w:rsidRPr="00610D04">
              <w:rPr>
                <w:rFonts w:ascii="Arial" w:hAnsi="Arial" w:cs="Arial"/>
                <w:sz w:val="20"/>
              </w:rPr>
              <w:t>Brief in duration</w:t>
            </w:r>
          </w:p>
          <w:p w:rsidR="00070536" w:rsidRPr="00610D04" w:rsidRDefault="00070536" w:rsidP="00070536">
            <w:pPr>
              <w:pStyle w:val="ListParagraph"/>
              <w:numPr>
                <w:ilvl w:val="0"/>
                <w:numId w:val="18"/>
              </w:numPr>
              <w:spacing w:before="100" w:after="100"/>
              <w:rPr>
                <w:rFonts w:ascii="Arial" w:hAnsi="Arial" w:cs="Arial"/>
                <w:sz w:val="20"/>
              </w:rPr>
            </w:pPr>
            <w:r w:rsidRPr="00610D04">
              <w:rPr>
                <w:rFonts w:ascii="Arial" w:hAnsi="Arial" w:cs="Arial"/>
                <w:sz w:val="20"/>
              </w:rPr>
              <w:t>Painless/harmless</w:t>
            </w:r>
          </w:p>
          <w:p w:rsidR="00070536" w:rsidRPr="00610D04" w:rsidRDefault="00070536" w:rsidP="00070536">
            <w:pPr>
              <w:pStyle w:val="ListParagraph"/>
              <w:numPr>
                <w:ilvl w:val="0"/>
                <w:numId w:val="18"/>
              </w:numPr>
              <w:spacing w:before="100" w:after="100"/>
              <w:rPr>
                <w:rFonts w:ascii="Arial" w:hAnsi="Arial" w:cs="Arial"/>
                <w:sz w:val="20"/>
              </w:rPr>
            </w:pPr>
            <w:r w:rsidRPr="00610D04">
              <w:rPr>
                <w:rFonts w:ascii="Arial" w:hAnsi="Arial" w:cs="Arial"/>
                <w:sz w:val="20"/>
              </w:rPr>
              <w:t>Not physically invasive</w:t>
            </w:r>
          </w:p>
          <w:p w:rsidR="00070536" w:rsidRPr="00610D04" w:rsidRDefault="00070536" w:rsidP="00070536">
            <w:pPr>
              <w:pStyle w:val="ListParagraph"/>
              <w:numPr>
                <w:ilvl w:val="0"/>
                <w:numId w:val="18"/>
              </w:numPr>
              <w:spacing w:before="100" w:after="100"/>
              <w:rPr>
                <w:rFonts w:ascii="Arial" w:hAnsi="Arial" w:cs="Arial"/>
                <w:sz w:val="20"/>
              </w:rPr>
            </w:pPr>
            <w:r w:rsidRPr="00610D04">
              <w:rPr>
                <w:rFonts w:ascii="Arial" w:hAnsi="Arial" w:cs="Arial"/>
                <w:sz w:val="20"/>
              </w:rPr>
              <w:t>Not likely to have a significant adverse lasting impact on subjects</w:t>
            </w:r>
          </w:p>
          <w:p w:rsidR="00070536" w:rsidRPr="00610D04" w:rsidRDefault="00070536" w:rsidP="00070536">
            <w:pPr>
              <w:pStyle w:val="ListParagraph"/>
              <w:numPr>
                <w:ilvl w:val="0"/>
                <w:numId w:val="18"/>
              </w:numPr>
              <w:spacing w:before="100" w:after="100"/>
              <w:rPr>
                <w:rFonts w:ascii="Arial" w:hAnsi="Arial" w:cs="Arial"/>
                <w:sz w:val="20"/>
              </w:rPr>
            </w:pPr>
            <w:r w:rsidRPr="00610D04">
              <w:rPr>
                <w:rFonts w:ascii="Arial" w:hAnsi="Arial" w:cs="Arial"/>
                <w:sz w:val="20"/>
              </w:rPr>
              <w:t>Un</w:t>
            </w:r>
            <w:r w:rsidR="00105711" w:rsidRPr="00610D04">
              <w:rPr>
                <w:rFonts w:ascii="Arial" w:hAnsi="Arial" w:cs="Arial"/>
                <w:sz w:val="20"/>
              </w:rPr>
              <w:t>likely that subjects will find interventions offensive or embarrassing</w:t>
            </w:r>
          </w:p>
          <w:p w:rsidR="00105711" w:rsidRPr="00610D04" w:rsidRDefault="00105711" w:rsidP="00FA7468">
            <w:pPr>
              <w:spacing w:before="100" w:after="100"/>
              <w:rPr>
                <w:rFonts w:ascii="Arial" w:hAnsi="Arial" w:cs="Arial"/>
                <w:sz w:val="20"/>
              </w:rPr>
            </w:pPr>
            <w:r w:rsidRPr="00610D04">
              <w:rPr>
                <w:rFonts w:ascii="Arial" w:hAnsi="Arial" w:cs="Arial"/>
                <w:sz w:val="20"/>
              </w:rPr>
              <w:t>There can be no deception unless participant prospectively agrees.</w:t>
            </w:r>
            <w:r w:rsidR="00FA7468">
              <w:rPr>
                <w:rFonts w:ascii="Arial" w:hAnsi="Arial" w:cs="Arial"/>
                <w:sz w:val="20"/>
              </w:rPr>
              <w:t xml:space="preserve"> No children.</w:t>
            </w:r>
          </w:p>
        </w:tc>
      </w:tr>
      <w:tr w:rsidR="004B3DC0" w:rsidRPr="004B3DC0" w:rsidTr="00787C37">
        <w:tc>
          <w:tcPr>
            <w:tcW w:w="5204" w:type="dxa"/>
          </w:tcPr>
          <w:p w:rsidR="004B3DC0" w:rsidRPr="00610D04" w:rsidRDefault="004B3DC0" w:rsidP="00E350F7">
            <w:pPr>
              <w:numPr>
                <w:ilvl w:val="0"/>
                <w:numId w:val="15"/>
              </w:numPr>
              <w:spacing w:before="100" w:after="100"/>
              <w:ind w:left="0" w:firstLine="0"/>
              <w:rPr>
                <w:rFonts w:ascii="Arial" w:hAnsi="Arial" w:cs="Arial"/>
                <w:sz w:val="20"/>
              </w:rPr>
            </w:pPr>
            <w:r w:rsidRPr="00610D04">
              <w:rPr>
                <w:rFonts w:ascii="Arial" w:hAnsi="Arial" w:cs="Arial"/>
                <w:sz w:val="20"/>
              </w:rPr>
              <w:t>Secondary research for which consent is not required</w:t>
            </w:r>
            <w:r w:rsidR="009D2C15" w:rsidRPr="00610D04">
              <w:rPr>
                <w:rFonts w:ascii="Arial" w:hAnsi="Arial" w:cs="Arial"/>
                <w:sz w:val="20"/>
              </w:rPr>
              <w:t xml:space="preserve">: use of identifiable information or identifiable </w:t>
            </w:r>
            <w:proofErr w:type="spellStart"/>
            <w:r w:rsidR="009D2C15" w:rsidRPr="00610D04">
              <w:rPr>
                <w:rFonts w:ascii="Arial" w:hAnsi="Arial" w:cs="Arial"/>
                <w:sz w:val="20"/>
              </w:rPr>
              <w:t>biospecimen</w:t>
            </w:r>
            <w:proofErr w:type="spellEnd"/>
            <w:r w:rsidR="009D2C15" w:rsidRPr="00610D04">
              <w:rPr>
                <w:rFonts w:ascii="Arial" w:hAnsi="Arial" w:cs="Arial"/>
                <w:sz w:val="20"/>
              </w:rPr>
              <w:t xml:space="preserve"> that have been or will be collected for some other ‘primary’ or ‘initial’ activity;</w:t>
            </w:r>
          </w:p>
        </w:tc>
        <w:tc>
          <w:tcPr>
            <w:tcW w:w="4151" w:type="dxa"/>
          </w:tcPr>
          <w:p w:rsidR="001D2ED0" w:rsidRPr="00610D04" w:rsidRDefault="001D2ED0" w:rsidP="001D2ED0">
            <w:pPr>
              <w:pStyle w:val="ListParagraph"/>
              <w:numPr>
                <w:ilvl w:val="0"/>
                <w:numId w:val="19"/>
              </w:numPr>
              <w:spacing w:before="100" w:after="100"/>
              <w:rPr>
                <w:rFonts w:ascii="Arial" w:hAnsi="Arial" w:cs="Arial"/>
                <w:sz w:val="20"/>
              </w:rPr>
            </w:pPr>
            <w:r w:rsidRPr="00610D04">
              <w:rPr>
                <w:rFonts w:ascii="Arial" w:hAnsi="Arial" w:cs="Arial"/>
                <w:sz w:val="20"/>
              </w:rPr>
              <w:t xml:space="preserve">Information is publically available; or </w:t>
            </w:r>
          </w:p>
          <w:p w:rsidR="001D2ED0" w:rsidRPr="00610D04" w:rsidRDefault="009D2C15" w:rsidP="001D2ED0">
            <w:pPr>
              <w:pStyle w:val="ListParagraph"/>
              <w:numPr>
                <w:ilvl w:val="0"/>
                <w:numId w:val="19"/>
              </w:numPr>
              <w:spacing w:before="100" w:after="100"/>
              <w:rPr>
                <w:rFonts w:ascii="Arial" w:hAnsi="Arial" w:cs="Arial"/>
                <w:sz w:val="20"/>
              </w:rPr>
            </w:pPr>
            <w:r w:rsidRPr="00610D04">
              <w:rPr>
                <w:rFonts w:ascii="Arial" w:hAnsi="Arial" w:cs="Arial"/>
                <w:sz w:val="20"/>
              </w:rPr>
              <w:t>I</w:t>
            </w:r>
            <w:r w:rsidR="001D2ED0" w:rsidRPr="00610D04">
              <w:rPr>
                <w:rFonts w:ascii="Arial" w:hAnsi="Arial" w:cs="Arial"/>
                <w:sz w:val="20"/>
              </w:rPr>
              <w:t>nformation is recorded so subject cannot readily be identified and investigator does not contact subjects and will not re-identify the subjects; or</w:t>
            </w:r>
          </w:p>
          <w:p w:rsidR="004B3DC0" w:rsidRPr="00610D04" w:rsidRDefault="009D2C15" w:rsidP="001D2ED0">
            <w:pPr>
              <w:pStyle w:val="ListParagraph"/>
              <w:numPr>
                <w:ilvl w:val="0"/>
                <w:numId w:val="19"/>
              </w:numPr>
              <w:spacing w:before="100" w:after="100"/>
              <w:rPr>
                <w:rFonts w:ascii="Arial" w:hAnsi="Arial" w:cs="Arial"/>
                <w:sz w:val="20"/>
              </w:rPr>
            </w:pPr>
            <w:r w:rsidRPr="00610D04">
              <w:rPr>
                <w:rFonts w:ascii="Arial" w:hAnsi="Arial" w:cs="Arial"/>
                <w:sz w:val="20"/>
              </w:rPr>
              <w:t>C</w:t>
            </w:r>
            <w:r w:rsidR="001D2ED0" w:rsidRPr="00610D04">
              <w:rPr>
                <w:rFonts w:ascii="Arial" w:hAnsi="Arial" w:cs="Arial"/>
                <w:sz w:val="20"/>
              </w:rPr>
              <w:t>ollection and analysis involving investigators use of identifiable health information when use is regulated by HIPAA; or</w:t>
            </w:r>
          </w:p>
          <w:p w:rsidR="001D2ED0" w:rsidRPr="00610D04" w:rsidRDefault="009D2C15" w:rsidP="001D2ED0">
            <w:pPr>
              <w:pStyle w:val="ListParagraph"/>
              <w:numPr>
                <w:ilvl w:val="0"/>
                <w:numId w:val="19"/>
              </w:numPr>
              <w:spacing w:before="100" w:after="100"/>
              <w:rPr>
                <w:rFonts w:ascii="Arial" w:hAnsi="Arial" w:cs="Arial"/>
                <w:sz w:val="20"/>
              </w:rPr>
            </w:pPr>
            <w:r w:rsidRPr="00610D04">
              <w:rPr>
                <w:rFonts w:ascii="Arial" w:hAnsi="Arial" w:cs="Arial"/>
                <w:sz w:val="20"/>
              </w:rPr>
              <w:t>R</w:t>
            </w:r>
            <w:r w:rsidR="001D2ED0" w:rsidRPr="00610D04">
              <w:rPr>
                <w:rFonts w:ascii="Arial" w:hAnsi="Arial" w:cs="Arial"/>
                <w:sz w:val="20"/>
              </w:rPr>
              <w:t xml:space="preserve">esearch information </w:t>
            </w:r>
            <w:r w:rsidRPr="00610D04">
              <w:rPr>
                <w:rFonts w:ascii="Arial" w:hAnsi="Arial" w:cs="Arial"/>
                <w:sz w:val="20"/>
              </w:rPr>
              <w:t xml:space="preserve">is </w:t>
            </w:r>
            <w:r w:rsidR="001D2ED0" w:rsidRPr="00610D04">
              <w:rPr>
                <w:rFonts w:ascii="Arial" w:hAnsi="Arial" w:cs="Arial"/>
                <w:sz w:val="20"/>
              </w:rPr>
              <w:t xml:space="preserve">collected by or on behalf of federal </w:t>
            </w:r>
            <w:proofErr w:type="gramStart"/>
            <w:r w:rsidR="001D2ED0" w:rsidRPr="00610D04">
              <w:rPr>
                <w:rFonts w:ascii="Arial" w:hAnsi="Arial" w:cs="Arial"/>
                <w:sz w:val="20"/>
              </w:rPr>
              <w:t>government</w:t>
            </w:r>
            <w:proofErr w:type="gramEnd"/>
            <w:r w:rsidR="001D2ED0" w:rsidRPr="00610D04">
              <w:rPr>
                <w:rFonts w:ascii="Arial" w:hAnsi="Arial" w:cs="Arial"/>
                <w:sz w:val="20"/>
              </w:rPr>
              <w:t xml:space="preserve"> using government generated or </w:t>
            </w:r>
            <w:r w:rsidR="001D2ED0" w:rsidRPr="00610D04">
              <w:rPr>
                <w:rFonts w:ascii="Arial" w:hAnsi="Arial" w:cs="Arial"/>
                <w:sz w:val="20"/>
              </w:rPr>
              <w:lastRenderedPageBreak/>
              <w:t>collected information obtained for non-research activities.</w:t>
            </w:r>
          </w:p>
        </w:tc>
      </w:tr>
      <w:tr w:rsidR="004B3DC0" w:rsidRPr="004B3DC0" w:rsidTr="00787C37">
        <w:tc>
          <w:tcPr>
            <w:tcW w:w="5204" w:type="dxa"/>
          </w:tcPr>
          <w:p w:rsidR="004B3DC0" w:rsidRPr="00610D04" w:rsidRDefault="009D2C15" w:rsidP="009D2C15">
            <w:pPr>
              <w:numPr>
                <w:ilvl w:val="0"/>
                <w:numId w:val="16"/>
              </w:numPr>
              <w:spacing w:before="100" w:after="100"/>
              <w:ind w:left="0" w:firstLine="0"/>
              <w:rPr>
                <w:rFonts w:ascii="Arial" w:hAnsi="Arial" w:cs="Arial"/>
                <w:sz w:val="20"/>
              </w:rPr>
            </w:pPr>
            <w:r w:rsidRPr="00610D04">
              <w:rPr>
                <w:rFonts w:ascii="Arial" w:hAnsi="Arial" w:cs="Arial"/>
                <w:sz w:val="20"/>
              </w:rPr>
              <w:lastRenderedPageBreak/>
              <w:t>Research and demonstration projects supported by a Federal Agency/Dept. and designed to study, public benefit or service programs</w:t>
            </w:r>
            <w:r w:rsidR="004B3DC0" w:rsidRPr="00610D04">
              <w:rPr>
                <w:rFonts w:ascii="Arial" w:hAnsi="Arial" w:cs="Arial"/>
                <w:sz w:val="20"/>
              </w:rPr>
              <w:t xml:space="preserve">; </w:t>
            </w:r>
          </w:p>
        </w:tc>
        <w:tc>
          <w:tcPr>
            <w:tcW w:w="4151" w:type="dxa"/>
          </w:tcPr>
          <w:p w:rsidR="004B3DC0" w:rsidRPr="00610D04" w:rsidRDefault="009D2C15" w:rsidP="004B3DC0">
            <w:pPr>
              <w:spacing w:before="100" w:after="100"/>
              <w:rPr>
                <w:rFonts w:ascii="Arial" w:hAnsi="Arial" w:cs="Arial"/>
                <w:sz w:val="20"/>
              </w:rPr>
            </w:pPr>
            <w:proofErr w:type="gramStart"/>
            <w:r w:rsidRPr="00610D04">
              <w:rPr>
                <w:rFonts w:ascii="Arial" w:hAnsi="Arial" w:cs="Arial"/>
                <w:sz w:val="20"/>
              </w:rPr>
              <w:t>Must be posted</w:t>
            </w:r>
            <w:proofErr w:type="gramEnd"/>
            <w:r w:rsidRPr="00610D04">
              <w:rPr>
                <w:rFonts w:ascii="Arial" w:hAnsi="Arial" w:cs="Arial"/>
                <w:sz w:val="20"/>
              </w:rPr>
              <w:t xml:space="preserve"> on a federal web site.</w:t>
            </w:r>
          </w:p>
        </w:tc>
      </w:tr>
      <w:tr w:rsidR="004B3DC0" w:rsidRPr="004B3DC0" w:rsidTr="00787C37">
        <w:tc>
          <w:tcPr>
            <w:tcW w:w="5204" w:type="dxa"/>
          </w:tcPr>
          <w:p w:rsidR="004B3DC0" w:rsidRPr="00610D04" w:rsidRDefault="004B3DC0" w:rsidP="00E350F7">
            <w:pPr>
              <w:numPr>
                <w:ilvl w:val="0"/>
                <w:numId w:val="17"/>
              </w:numPr>
              <w:spacing w:before="100" w:after="100"/>
              <w:ind w:left="0" w:firstLine="0"/>
              <w:rPr>
                <w:rFonts w:ascii="Arial" w:hAnsi="Arial" w:cs="Arial"/>
                <w:sz w:val="20"/>
              </w:rPr>
            </w:pPr>
            <w:r w:rsidRPr="00610D04">
              <w:rPr>
                <w:rFonts w:ascii="Arial" w:hAnsi="Arial" w:cs="Arial"/>
                <w:sz w:val="20"/>
              </w:rPr>
              <w:t xml:space="preserve">Taste and food quality evaluation </w:t>
            </w:r>
            <w:r w:rsidR="00610D04" w:rsidRPr="00610D04">
              <w:rPr>
                <w:rFonts w:ascii="Arial" w:hAnsi="Arial" w:cs="Arial"/>
                <w:sz w:val="20"/>
              </w:rPr>
              <w:t>and consumer acceptance studies;</w:t>
            </w:r>
          </w:p>
        </w:tc>
        <w:tc>
          <w:tcPr>
            <w:tcW w:w="4151" w:type="dxa"/>
          </w:tcPr>
          <w:p w:rsidR="004B3DC0" w:rsidRPr="00610D04" w:rsidRDefault="004B3DC0" w:rsidP="004B3DC0">
            <w:pPr>
              <w:spacing w:before="100" w:after="100"/>
              <w:rPr>
                <w:rFonts w:ascii="Arial" w:hAnsi="Arial" w:cs="Arial"/>
                <w:sz w:val="20"/>
              </w:rPr>
            </w:pPr>
          </w:p>
        </w:tc>
      </w:tr>
      <w:tr w:rsidR="00610D04" w:rsidRPr="004B3DC0" w:rsidTr="00787C37">
        <w:tc>
          <w:tcPr>
            <w:tcW w:w="5204" w:type="dxa"/>
          </w:tcPr>
          <w:p w:rsidR="00610D04" w:rsidRPr="00610D04" w:rsidRDefault="00610D04" w:rsidP="00E350F7">
            <w:pPr>
              <w:numPr>
                <w:ilvl w:val="0"/>
                <w:numId w:val="17"/>
              </w:numPr>
              <w:spacing w:before="100" w:after="100"/>
              <w:ind w:left="0" w:firstLine="0"/>
              <w:rPr>
                <w:rFonts w:ascii="Arial" w:hAnsi="Arial" w:cs="Arial"/>
                <w:sz w:val="20"/>
              </w:rPr>
            </w:pPr>
            <w:r w:rsidRPr="00610D04">
              <w:rPr>
                <w:rFonts w:ascii="Arial" w:hAnsi="Arial" w:cs="Arial"/>
                <w:sz w:val="20"/>
              </w:rPr>
              <w:t xml:space="preserve">Storage or maintenance of identifiable private information or identifiable </w:t>
            </w:r>
            <w:proofErr w:type="spellStart"/>
            <w:r w:rsidRPr="00610D04">
              <w:rPr>
                <w:rFonts w:ascii="Arial" w:hAnsi="Arial" w:cs="Arial"/>
                <w:sz w:val="20"/>
              </w:rPr>
              <w:t>biospecimens</w:t>
            </w:r>
            <w:proofErr w:type="spellEnd"/>
            <w:r w:rsidRPr="00610D04">
              <w:rPr>
                <w:rFonts w:ascii="Arial" w:hAnsi="Arial" w:cs="Arial"/>
                <w:sz w:val="20"/>
              </w:rPr>
              <w:t xml:space="preserve"> for secondary research for which broad consent is required;</w:t>
            </w:r>
          </w:p>
        </w:tc>
        <w:tc>
          <w:tcPr>
            <w:tcW w:w="4151" w:type="dxa"/>
          </w:tcPr>
          <w:p w:rsidR="00610D04" w:rsidRPr="00610D04" w:rsidRDefault="00610D04" w:rsidP="00610D04">
            <w:pPr>
              <w:spacing w:before="100" w:after="100"/>
              <w:rPr>
                <w:rFonts w:ascii="Arial" w:hAnsi="Arial" w:cs="Arial"/>
                <w:sz w:val="20"/>
              </w:rPr>
            </w:pPr>
            <w:r w:rsidRPr="00610D04">
              <w:rPr>
                <w:rFonts w:ascii="Arial" w:hAnsi="Arial" w:cs="Arial"/>
                <w:sz w:val="20"/>
              </w:rPr>
              <w:t xml:space="preserve">All requirements for broad consent </w:t>
            </w:r>
            <w:proofErr w:type="gramStart"/>
            <w:r w:rsidRPr="00610D04">
              <w:rPr>
                <w:rFonts w:ascii="Arial" w:hAnsi="Arial" w:cs="Arial"/>
                <w:sz w:val="20"/>
              </w:rPr>
              <w:t>are met</w:t>
            </w:r>
            <w:proofErr w:type="gramEnd"/>
            <w:r w:rsidRPr="00610D04">
              <w:rPr>
                <w:rFonts w:ascii="Arial" w:hAnsi="Arial" w:cs="Arial"/>
                <w:sz w:val="20"/>
              </w:rPr>
              <w:t xml:space="preserve">. </w:t>
            </w:r>
          </w:p>
        </w:tc>
      </w:tr>
      <w:tr w:rsidR="00610D04" w:rsidRPr="004B3DC0" w:rsidTr="00787C37">
        <w:tc>
          <w:tcPr>
            <w:tcW w:w="5204" w:type="dxa"/>
          </w:tcPr>
          <w:p w:rsidR="00610D04" w:rsidRPr="00610D04" w:rsidRDefault="00610D04" w:rsidP="00E350F7">
            <w:pPr>
              <w:numPr>
                <w:ilvl w:val="0"/>
                <w:numId w:val="17"/>
              </w:numPr>
              <w:spacing w:before="100" w:after="100"/>
              <w:ind w:left="0" w:firstLine="0"/>
              <w:rPr>
                <w:rFonts w:ascii="Arial" w:hAnsi="Arial" w:cs="Arial"/>
                <w:sz w:val="20"/>
              </w:rPr>
            </w:pPr>
            <w:r w:rsidRPr="00610D04">
              <w:rPr>
                <w:rFonts w:ascii="Arial" w:hAnsi="Arial" w:cs="Arial"/>
                <w:sz w:val="20"/>
              </w:rPr>
              <w:t xml:space="preserve">Secondary research involving use of identifiable private information or identifiable </w:t>
            </w:r>
            <w:proofErr w:type="spellStart"/>
            <w:r w:rsidRPr="00610D04">
              <w:rPr>
                <w:rFonts w:ascii="Arial" w:hAnsi="Arial" w:cs="Arial"/>
                <w:sz w:val="20"/>
              </w:rPr>
              <w:t>biospecimens</w:t>
            </w:r>
            <w:proofErr w:type="spellEnd"/>
            <w:r w:rsidRPr="00610D04">
              <w:rPr>
                <w:rFonts w:ascii="Arial" w:hAnsi="Arial" w:cs="Arial"/>
                <w:sz w:val="20"/>
              </w:rPr>
              <w:t xml:space="preserve"> for which broad consent was required.</w:t>
            </w:r>
          </w:p>
        </w:tc>
        <w:tc>
          <w:tcPr>
            <w:tcW w:w="4151" w:type="dxa"/>
          </w:tcPr>
          <w:p w:rsidR="00610D04" w:rsidRPr="00610D04" w:rsidRDefault="00610D04" w:rsidP="004B3DC0">
            <w:pPr>
              <w:spacing w:before="100" w:after="100"/>
              <w:rPr>
                <w:rFonts w:ascii="Arial" w:hAnsi="Arial" w:cs="Arial"/>
                <w:sz w:val="20"/>
              </w:rPr>
            </w:pPr>
            <w:r w:rsidRPr="00610D04">
              <w:rPr>
                <w:rFonts w:ascii="Arial" w:hAnsi="Arial" w:cs="Arial"/>
                <w:sz w:val="20"/>
              </w:rPr>
              <w:t>Privacy and confidentiality protections are adequate; broad consent was obtained; documented or documentation waived</w:t>
            </w:r>
            <w:proofErr w:type="gramStart"/>
            <w:r w:rsidRPr="00610D04">
              <w:rPr>
                <w:rFonts w:ascii="Arial" w:hAnsi="Arial" w:cs="Arial"/>
                <w:sz w:val="20"/>
              </w:rPr>
              <w:t>;</w:t>
            </w:r>
            <w:proofErr w:type="gramEnd"/>
            <w:r w:rsidRPr="00610D04">
              <w:rPr>
                <w:rFonts w:ascii="Arial" w:hAnsi="Arial" w:cs="Arial"/>
                <w:sz w:val="20"/>
              </w:rPr>
              <w:t xml:space="preserve"> and no plan to return research results.</w:t>
            </w:r>
          </w:p>
        </w:tc>
      </w:tr>
    </w:tbl>
    <w:p w:rsidR="00FF38C1" w:rsidRDefault="00FF38C1" w:rsidP="004B3DC0"/>
    <w:p w:rsidR="00FA7468" w:rsidRDefault="00FA7468" w:rsidP="00FA7468">
      <w:pPr>
        <w:tabs>
          <w:tab w:val="decimal" w:pos="360"/>
          <w:tab w:val="left" w:pos="540"/>
          <w:tab w:val="left" w:pos="720"/>
          <w:tab w:val="left" w:pos="990"/>
        </w:tabs>
        <w:rPr>
          <w:u w:val="single"/>
        </w:rPr>
      </w:pPr>
      <w:r w:rsidRPr="00FA7468">
        <w:rPr>
          <w:u w:val="single"/>
        </w:rPr>
        <w:t>LIMITED EXEMPTED</w:t>
      </w:r>
      <w:r>
        <w:rPr>
          <w:u w:val="single"/>
        </w:rPr>
        <w:t xml:space="preserve"> REVIEW</w:t>
      </w:r>
    </w:p>
    <w:p w:rsidR="00560BD1" w:rsidRPr="00560BD1" w:rsidRDefault="00D000FD" w:rsidP="00FA7468">
      <w:pPr>
        <w:tabs>
          <w:tab w:val="decimal" w:pos="360"/>
          <w:tab w:val="left" w:pos="540"/>
          <w:tab w:val="left" w:pos="720"/>
          <w:tab w:val="left" w:pos="990"/>
        </w:tabs>
      </w:pPr>
      <w:r>
        <w:t xml:space="preserve">The IRB will use the expedited review procedure to review research for which limited IRB review is a condition of exemption. </w:t>
      </w:r>
      <w:r w:rsidR="00787C37">
        <w:t xml:space="preserve">If you request a limited exempt review, you need to submit </w:t>
      </w:r>
      <w:r w:rsidR="00787C37">
        <w:rPr>
          <w:u w:val="single"/>
        </w:rPr>
        <w:t>ONE</w:t>
      </w:r>
      <w:r w:rsidR="00787C37">
        <w:t xml:space="preserve"> copy of the application</w:t>
      </w:r>
      <w:r w:rsidR="00B04E1B">
        <w:t>, the research protocol, and consent form</w:t>
      </w:r>
      <w:r w:rsidR="00787C37">
        <w:t xml:space="preserve">. On the application form, select one of the categories below. </w:t>
      </w:r>
      <w:r w:rsidR="00560BD1">
        <w:t>The IRB conducts a limited review of privacy and confidentiality for all the following exempt categories</w:t>
      </w:r>
      <w:r w:rsidR="003475D2">
        <w:t xml:space="preserve"> with the stated limitations</w:t>
      </w:r>
      <w:r w:rsidR="00560BD1">
        <w:t>:</w:t>
      </w:r>
    </w:p>
    <w:p w:rsidR="00FA7468" w:rsidRPr="00FA7468" w:rsidRDefault="00FA7468" w:rsidP="00FA7468">
      <w:pPr>
        <w:tabs>
          <w:tab w:val="decimal" w:pos="360"/>
          <w:tab w:val="left" w:pos="540"/>
          <w:tab w:val="left" w:pos="720"/>
          <w:tab w:val="left" w:pos="990"/>
        </w:tabs>
      </w:pPr>
    </w:p>
    <w:tbl>
      <w:tblPr>
        <w:tblStyle w:val="TableGrid"/>
        <w:tblW w:w="0" w:type="auto"/>
        <w:tblInd w:w="-5" w:type="dxa"/>
        <w:tblLook w:val="04A0" w:firstRow="1" w:lastRow="0" w:firstColumn="1" w:lastColumn="0" w:noHBand="0" w:noVBand="1"/>
      </w:tblPr>
      <w:tblGrid>
        <w:gridCol w:w="5204"/>
        <w:gridCol w:w="4151"/>
      </w:tblGrid>
      <w:tr w:rsidR="00FA7468" w:rsidRPr="004B3DC0" w:rsidTr="00787C37">
        <w:tc>
          <w:tcPr>
            <w:tcW w:w="5204" w:type="dxa"/>
          </w:tcPr>
          <w:p w:rsidR="00FA7468" w:rsidRPr="00070536" w:rsidRDefault="00560BD1" w:rsidP="008362A5">
            <w:pPr>
              <w:spacing w:before="100" w:after="100"/>
              <w:rPr>
                <w:b/>
              </w:rPr>
            </w:pPr>
            <w:r>
              <w:rPr>
                <w:b/>
              </w:rPr>
              <w:t xml:space="preserve">Limited </w:t>
            </w:r>
            <w:r w:rsidR="00FA7468" w:rsidRPr="00070536">
              <w:rPr>
                <w:b/>
              </w:rPr>
              <w:t>Exemption Category Description</w:t>
            </w:r>
          </w:p>
        </w:tc>
        <w:tc>
          <w:tcPr>
            <w:tcW w:w="4151" w:type="dxa"/>
          </w:tcPr>
          <w:p w:rsidR="00FA7468" w:rsidRPr="00070536" w:rsidRDefault="00FA7468" w:rsidP="008362A5">
            <w:pPr>
              <w:spacing w:before="100" w:after="100"/>
              <w:rPr>
                <w:b/>
              </w:rPr>
            </w:pPr>
            <w:r w:rsidRPr="00070536">
              <w:rPr>
                <w:b/>
              </w:rPr>
              <w:t>Limitations</w:t>
            </w:r>
          </w:p>
        </w:tc>
      </w:tr>
      <w:tr w:rsidR="00FA7468" w:rsidRPr="004B3DC0" w:rsidTr="00787C37">
        <w:tc>
          <w:tcPr>
            <w:tcW w:w="5204" w:type="dxa"/>
          </w:tcPr>
          <w:p w:rsidR="00FA7468" w:rsidRPr="00FA7468" w:rsidRDefault="00FA7468" w:rsidP="00560BD1">
            <w:pPr>
              <w:pStyle w:val="ListParagraph"/>
              <w:numPr>
                <w:ilvl w:val="0"/>
                <w:numId w:val="21"/>
              </w:numPr>
              <w:spacing w:before="100" w:after="100"/>
              <w:ind w:left="315" w:hanging="315"/>
              <w:rPr>
                <w:rFonts w:ascii="Arial" w:hAnsi="Arial" w:cs="Arial"/>
                <w:sz w:val="20"/>
              </w:rPr>
            </w:pPr>
            <w:r w:rsidRPr="00FA7468">
              <w:rPr>
                <w:rFonts w:ascii="Arial" w:hAnsi="Arial" w:cs="Arial"/>
                <w:color w:val="000000"/>
                <w:sz w:val="20"/>
                <w:shd w:val="clear" w:color="auto" w:fill="FFFFFF"/>
              </w:rPr>
              <w:t>Research that only includes interactions involving educational tests (cognitive, diagnostic, aptitude, achievement), survey procedures, interview procedures, or observation of public behavior (including visual or auditory recording)</w:t>
            </w:r>
            <w:r w:rsidRPr="00FA7468">
              <w:rPr>
                <w:rFonts w:ascii="Arial" w:hAnsi="Arial" w:cs="Arial"/>
                <w:sz w:val="20"/>
              </w:rPr>
              <w:t>;</w:t>
            </w:r>
          </w:p>
        </w:tc>
        <w:tc>
          <w:tcPr>
            <w:tcW w:w="4151" w:type="dxa"/>
          </w:tcPr>
          <w:p w:rsidR="00560BD1" w:rsidRDefault="00560BD1" w:rsidP="008362A5">
            <w:pPr>
              <w:spacing w:before="100" w:after="100"/>
              <w:rPr>
                <w:rFonts w:ascii="Arial" w:hAnsi="Arial" w:cs="Arial"/>
                <w:sz w:val="20"/>
              </w:rPr>
            </w:pPr>
            <w:r>
              <w:rPr>
                <w:rFonts w:ascii="Arial" w:hAnsi="Arial" w:cs="Arial"/>
                <w:sz w:val="20"/>
              </w:rPr>
              <w:t xml:space="preserve">Information </w:t>
            </w:r>
            <w:proofErr w:type="gramStart"/>
            <w:r>
              <w:rPr>
                <w:rFonts w:ascii="Arial" w:hAnsi="Arial" w:cs="Arial"/>
                <w:sz w:val="20"/>
              </w:rPr>
              <w:t>is recorded</w:t>
            </w:r>
            <w:proofErr w:type="gramEnd"/>
            <w:r>
              <w:rPr>
                <w:rFonts w:ascii="Arial" w:hAnsi="Arial" w:cs="Arial"/>
                <w:sz w:val="20"/>
              </w:rPr>
              <w:t xml:space="preserve"> with identifiers.</w:t>
            </w:r>
          </w:p>
          <w:p w:rsidR="00FA7468" w:rsidRPr="00610D04" w:rsidRDefault="00FA7468" w:rsidP="008362A5">
            <w:pPr>
              <w:spacing w:before="100" w:after="100"/>
              <w:rPr>
                <w:rFonts w:ascii="Arial" w:hAnsi="Arial" w:cs="Arial"/>
                <w:sz w:val="20"/>
              </w:rPr>
            </w:pPr>
          </w:p>
        </w:tc>
      </w:tr>
      <w:tr w:rsidR="00FA7468" w:rsidRPr="004B3DC0" w:rsidTr="00787C37">
        <w:tc>
          <w:tcPr>
            <w:tcW w:w="5204" w:type="dxa"/>
          </w:tcPr>
          <w:p w:rsidR="00FA7468" w:rsidRPr="00560BD1" w:rsidRDefault="00FA7468" w:rsidP="00560BD1">
            <w:pPr>
              <w:pStyle w:val="ListParagraph"/>
              <w:numPr>
                <w:ilvl w:val="0"/>
                <w:numId w:val="21"/>
              </w:numPr>
              <w:spacing w:before="100" w:after="100"/>
              <w:ind w:left="315"/>
              <w:rPr>
                <w:rFonts w:ascii="Arial" w:hAnsi="Arial" w:cs="Arial"/>
                <w:sz w:val="20"/>
              </w:rPr>
            </w:pPr>
            <w:r w:rsidRPr="00560BD1">
              <w:rPr>
                <w:rFonts w:ascii="Arial" w:hAnsi="Arial" w:cs="Arial"/>
                <w:color w:val="000000"/>
                <w:sz w:val="20"/>
                <w:shd w:val="clear" w:color="auto" w:fill="FFFFFF"/>
              </w:rPr>
              <w:t>Research involving benign behavioral interventions (BBI) in conjunction with the collection of information from an adult subject through verbal or written responses (including data entry) or audiovisual recording if the subject prospectively agrees to the intervention and information collection.</w:t>
            </w:r>
          </w:p>
        </w:tc>
        <w:tc>
          <w:tcPr>
            <w:tcW w:w="4151" w:type="dxa"/>
          </w:tcPr>
          <w:p w:rsidR="00FA7468" w:rsidRDefault="00560BD1" w:rsidP="008362A5">
            <w:pPr>
              <w:spacing w:before="100" w:after="100"/>
              <w:rPr>
                <w:rFonts w:ascii="Arial" w:hAnsi="Arial" w:cs="Arial"/>
                <w:sz w:val="20"/>
              </w:rPr>
            </w:pPr>
            <w:r>
              <w:rPr>
                <w:rFonts w:ascii="Arial" w:hAnsi="Arial" w:cs="Arial"/>
                <w:sz w:val="20"/>
              </w:rPr>
              <w:t xml:space="preserve">Information </w:t>
            </w:r>
            <w:proofErr w:type="gramStart"/>
            <w:r>
              <w:rPr>
                <w:rFonts w:ascii="Arial" w:hAnsi="Arial" w:cs="Arial"/>
                <w:sz w:val="20"/>
              </w:rPr>
              <w:t>is recorded</w:t>
            </w:r>
            <w:proofErr w:type="gramEnd"/>
            <w:r>
              <w:rPr>
                <w:rFonts w:ascii="Arial" w:hAnsi="Arial" w:cs="Arial"/>
                <w:sz w:val="20"/>
              </w:rPr>
              <w:t xml:space="preserve"> with identifiers.</w:t>
            </w:r>
          </w:p>
          <w:p w:rsidR="00560BD1" w:rsidRPr="00610D04" w:rsidRDefault="00560BD1" w:rsidP="008362A5">
            <w:pPr>
              <w:spacing w:before="100" w:after="100"/>
              <w:rPr>
                <w:rFonts w:ascii="Arial" w:hAnsi="Arial" w:cs="Arial"/>
                <w:sz w:val="20"/>
              </w:rPr>
            </w:pPr>
          </w:p>
        </w:tc>
      </w:tr>
      <w:tr w:rsidR="00FA7468" w:rsidRPr="004B3DC0" w:rsidTr="00787C37">
        <w:tc>
          <w:tcPr>
            <w:tcW w:w="5204" w:type="dxa"/>
          </w:tcPr>
          <w:p w:rsidR="00FA7468" w:rsidRPr="00560BD1" w:rsidRDefault="00FA7468" w:rsidP="00560BD1">
            <w:pPr>
              <w:pStyle w:val="ListParagraph"/>
              <w:numPr>
                <w:ilvl w:val="0"/>
                <w:numId w:val="22"/>
              </w:numPr>
              <w:spacing w:before="100" w:after="100"/>
              <w:ind w:left="315" w:hanging="315"/>
              <w:rPr>
                <w:rFonts w:ascii="Arial" w:hAnsi="Arial" w:cs="Arial"/>
                <w:sz w:val="20"/>
              </w:rPr>
            </w:pPr>
            <w:r w:rsidRPr="00560BD1">
              <w:rPr>
                <w:rFonts w:ascii="Arial" w:hAnsi="Arial" w:cs="Arial"/>
                <w:sz w:val="20"/>
              </w:rPr>
              <w:t xml:space="preserve">Storage or maintenance of identifiable private information or identifiable </w:t>
            </w:r>
            <w:proofErr w:type="spellStart"/>
            <w:r w:rsidRPr="00560BD1">
              <w:rPr>
                <w:rFonts w:ascii="Arial" w:hAnsi="Arial" w:cs="Arial"/>
                <w:sz w:val="20"/>
              </w:rPr>
              <w:t>biospecimens</w:t>
            </w:r>
            <w:proofErr w:type="spellEnd"/>
            <w:r w:rsidRPr="00560BD1">
              <w:rPr>
                <w:rFonts w:ascii="Arial" w:hAnsi="Arial" w:cs="Arial"/>
                <w:sz w:val="20"/>
              </w:rPr>
              <w:t xml:space="preserve"> for secondary research for which broad consent is required;</w:t>
            </w:r>
          </w:p>
        </w:tc>
        <w:tc>
          <w:tcPr>
            <w:tcW w:w="4151" w:type="dxa"/>
          </w:tcPr>
          <w:p w:rsidR="00FA7468" w:rsidRPr="00610D04" w:rsidRDefault="00560BD1" w:rsidP="003475D2">
            <w:pPr>
              <w:spacing w:before="100" w:after="100"/>
              <w:rPr>
                <w:rFonts w:ascii="Arial" w:hAnsi="Arial" w:cs="Arial"/>
                <w:sz w:val="20"/>
              </w:rPr>
            </w:pPr>
            <w:r>
              <w:rPr>
                <w:rFonts w:ascii="Arial" w:hAnsi="Arial" w:cs="Arial"/>
                <w:sz w:val="20"/>
              </w:rPr>
              <w:t>There is a change made for research purposes in the way material is stored or maintained.</w:t>
            </w:r>
          </w:p>
        </w:tc>
      </w:tr>
      <w:tr w:rsidR="00560BD1" w:rsidRPr="004B3DC0" w:rsidTr="00787C37">
        <w:tc>
          <w:tcPr>
            <w:tcW w:w="5204" w:type="dxa"/>
          </w:tcPr>
          <w:p w:rsidR="00560BD1" w:rsidRPr="00560BD1" w:rsidRDefault="00560BD1" w:rsidP="00560BD1">
            <w:pPr>
              <w:pStyle w:val="ListParagraph"/>
              <w:numPr>
                <w:ilvl w:val="0"/>
                <w:numId w:val="22"/>
              </w:numPr>
              <w:spacing w:before="100" w:after="100"/>
              <w:ind w:left="405" w:hanging="405"/>
              <w:rPr>
                <w:rFonts w:ascii="Arial" w:hAnsi="Arial" w:cs="Arial"/>
                <w:sz w:val="20"/>
              </w:rPr>
            </w:pPr>
            <w:r w:rsidRPr="00560BD1">
              <w:rPr>
                <w:rFonts w:ascii="Arial" w:hAnsi="Arial" w:cs="Arial"/>
                <w:sz w:val="20"/>
              </w:rPr>
              <w:t xml:space="preserve">Secondary research involving use of identifiable private information or identifiable </w:t>
            </w:r>
            <w:proofErr w:type="spellStart"/>
            <w:r w:rsidRPr="00560BD1">
              <w:rPr>
                <w:rFonts w:ascii="Arial" w:hAnsi="Arial" w:cs="Arial"/>
                <w:sz w:val="20"/>
              </w:rPr>
              <w:t>biospecimens</w:t>
            </w:r>
            <w:proofErr w:type="spellEnd"/>
            <w:r w:rsidRPr="00560BD1">
              <w:rPr>
                <w:rFonts w:ascii="Arial" w:hAnsi="Arial" w:cs="Arial"/>
                <w:sz w:val="20"/>
              </w:rPr>
              <w:t xml:space="preserve"> for which broad consent was required.</w:t>
            </w:r>
          </w:p>
        </w:tc>
        <w:tc>
          <w:tcPr>
            <w:tcW w:w="4151" w:type="dxa"/>
          </w:tcPr>
          <w:p w:rsidR="00560BD1" w:rsidRPr="00610D04" w:rsidRDefault="00560BD1" w:rsidP="00560BD1">
            <w:pPr>
              <w:spacing w:before="100" w:after="100"/>
              <w:rPr>
                <w:rFonts w:ascii="Arial" w:hAnsi="Arial" w:cs="Arial"/>
                <w:sz w:val="20"/>
              </w:rPr>
            </w:pPr>
          </w:p>
        </w:tc>
      </w:tr>
    </w:tbl>
    <w:p w:rsidR="00FA7468" w:rsidRDefault="00FA7468" w:rsidP="004B3DC0"/>
    <w:p w:rsidR="00D000FD" w:rsidRDefault="00D000FD" w:rsidP="00D000FD">
      <w:pPr>
        <w:tabs>
          <w:tab w:val="decimal" w:pos="360"/>
          <w:tab w:val="left" w:pos="540"/>
          <w:tab w:val="left" w:pos="720"/>
        </w:tabs>
      </w:pPr>
      <w:r>
        <w:rPr>
          <w:u w:val="single"/>
        </w:rPr>
        <w:t>EXPEDITED REVIEW</w:t>
      </w:r>
    </w:p>
    <w:p w:rsidR="00D000FD" w:rsidRDefault="00D000FD" w:rsidP="00D000FD">
      <w:pPr>
        <w:pStyle w:val="Leading"/>
      </w:pPr>
    </w:p>
    <w:p w:rsidR="00D000FD" w:rsidRDefault="00D000FD" w:rsidP="00D000FD">
      <w:pPr>
        <w:tabs>
          <w:tab w:val="decimal" w:pos="360"/>
          <w:tab w:val="left" w:pos="540"/>
          <w:tab w:val="left" w:pos="720"/>
        </w:tabs>
      </w:pPr>
      <w:r>
        <w:t xml:space="preserve">Expedited review </w:t>
      </w:r>
      <w:proofErr w:type="gramStart"/>
      <w:r>
        <w:t>is provided</w:t>
      </w:r>
      <w:proofErr w:type="gramEnd"/>
      <w:r>
        <w:t xml:space="preserve"> for research </w:t>
      </w:r>
      <w:r w:rsidR="003475D2">
        <w:t>that</w:t>
      </w:r>
      <w:r>
        <w:t xml:space="preserve"> involves no more than minimal risk or for review of minor changes in previously approved research protocols.  In order to approve research </w:t>
      </w:r>
      <w:r>
        <w:lastRenderedPageBreak/>
        <w:t xml:space="preserve">covered by the regulations, an IRB subcommittee will determine that </w:t>
      </w:r>
      <w:r>
        <w:rPr>
          <w:u w:val="single"/>
        </w:rPr>
        <w:t>all</w:t>
      </w:r>
      <w:r>
        <w:t xml:space="preserve"> of the following requirements are satisfied.  (The list below </w:t>
      </w:r>
      <w:proofErr w:type="gramStart"/>
      <w:r>
        <w:t>is utilized</w:t>
      </w:r>
      <w:proofErr w:type="gramEnd"/>
      <w:r>
        <w:t xml:space="preserve"> for all projects under IRB review):</w:t>
      </w:r>
    </w:p>
    <w:p w:rsidR="00D000FD" w:rsidRDefault="00D000FD" w:rsidP="00D000FD">
      <w:pPr>
        <w:pStyle w:val="Leading"/>
      </w:pPr>
    </w:p>
    <w:p w:rsidR="00D000FD" w:rsidRDefault="00D000FD" w:rsidP="00D000FD">
      <w:pPr>
        <w:numPr>
          <w:ilvl w:val="0"/>
          <w:numId w:val="1"/>
        </w:numPr>
      </w:pPr>
      <w:r>
        <w:t>risks to subjects are minimized;</w:t>
      </w:r>
    </w:p>
    <w:p w:rsidR="00D000FD" w:rsidRDefault="00D000FD" w:rsidP="00D000FD">
      <w:pPr>
        <w:numPr>
          <w:ilvl w:val="0"/>
          <w:numId w:val="1"/>
        </w:numPr>
      </w:pPr>
      <w:r>
        <w:t>risks to subjects are reasonable in relation to anticipated benefits, if any, to subjects, and the importance of the knowledge that may reasonably be expected to result;</w:t>
      </w:r>
    </w:p>
    <w:p w:rsidR="00D000FD" w:rsidRDefault="00D000FD" w:rsidP="00D000FD">
      <w:pPr>
        <w:numPr>
          <w:ilvl w:val="0"/>
          <w:numId w:val="1"/>
        </w:numPr>
      </w:pPr>
      <w:r>
        <w:t>selection of subjects is equitable;</w:t>
      </w:r>
    </w:p>
    <w:p w:rsidR="00D000FD" w:rsidRDefault="00D000FD" w:rsidP="00D000FD">
      <w:pPr>
        <w:numPr>
          <w:ilvl w:val="0"/>
          <w:numId w:val="1"/>
        </w:numPr>
      </w:pPr>
      <w:r>
        <w:t>informed consent will be sought from each prospective subject or the subject’s legally authorized representative;</w:t>
      </w:r>
    </w:p>
    <w:p w:rsidR="00D000FD" w:rsidRDefault="00D000FD" w:rsidP="00D000FD">
      <w:pPr>
        <w:numPr>
          <w:ilvl w:val="0"/>
          <w:numId w:val="1"/>
        </w:numPr>
      </w:pPr>
      <w:r>
        <w:t>informed consent will be appropriately documented;</w:t>
      </w:r>
    </w:p>
    <w:p w:rsidR="00D000FD" w:rsidRDefault="00D000FD" w:rsidP="00D000FD">
      <w:pPr>
        <w:numPr>
          <w:ilvl w:val="0"/>
          <w:numId w:val="1"/>
        </w:numPr>
      </w:pPr>
      <w:r>
        <w:t>when appropriate, the research plan makes adequate provision for monitoring data collected to ensure safety of subjects; and</w:t>
      </w:r>
    </w:p>
    <w:p w:rsidR="00D000FD" w:rsidRDefault="00D000FD" w:rsidP="00D000FD">
      <w:pPr>
        <w:numPr>
          <w:ilvl w:val="0"/>
          <w:numId w:val="1"/>
        </w:numPr>
      </w:pPr>
      <w:proofErr w:type="gramStart"/>
      <w:r>
        <w:t>when</w:t>
      </w:r>
      <w:proofErr w:type="gramEnd"/>
      <w:r>
        <w:t xml:space="preserve"> appropriate, there are adequate provisions to protect the privacy of subjects and to maintain the confidentiality of data.</w:t>
      </w:r>
    </w:p>
    <w:p w:rsidR="00D000FD" w:rsidRDefault="00D000FD" w:rsidP="00D000FD">
      <w:pPr>
        <w:pStyle w:val="Leading"/>
      </w:pPr>
    </w:p>
    <w:p w:rsidR="00D000FD" w:rsidRDefault="00D000FD" w:rsidP="00D000FD">
      <w:pPr>
        <w:tabs>
          <w:tab w:val="decimal" w:pos="360"/>
          <w:tab w:val="left" w:pos="540"/>
          <w:tab w:val="left" w:pos="720"/>
        </w:tabs>
      </w:pPr>
      <w:r>
        <w:t xml:space="preserve">Submit </w:t>
      </w:r>
      <w:r>
        <w:rPr>
          <w:u w:val="single"/>
        </w:rPr>
        <w:t>ONE</w:t>
      </w:r>
      <w:r>
        <w:t xml:space="preserve"> copy of the application</w:t>
      </w:r>
      <w:r w:rsidR="00B04E1B">
        <w:t>,</w:t>
      </w:r>
      <w:r>
        <w:t xml:space="preserve"> the research protocol</w:t>
      </w:r>
      <w:r w:rsidR="00B04E1B">
        <w:t>,</w:t>
      </w:r>
      <w:r>
        <w:t xml:space="preserve"> and consent form</w:t>
      </w:r>
      <w:r w:rsidR="00B04E1B">
        <w:t>. On the application form, select one of the categories below.</w:t>
      </w:r>
      <w:r>
        <w:t xml:space="preserve"> The list includes research with human subjects that involves:</w:t>
      </w:r>
    </w:p>
    <w:p w:rsidR="00D000FD" w:rsidRDefault="00D000FD" w:rsidP="00D000FD">
      <w:pPr>
        <w:pStyle w:val="Leading"/>
      </w:pPr>
    </w:p>
    <w:p w:rsidR="00D000FD" w:rsidRDefault="00D000FD" w:rsidP="00D000FD">
      <w:pPr>
        <w:numPr>
          <w:ilvl w:val="0"/>
          <w:numId w:val="2"/>
        </w:numPr>
        <w:spacing w:before="100" w:after="100"/>
      </w:pPr>
      <w:r>
        <w:t xml:space="preserve">Collection of hair and nail clippings in a </w:t>
      </w:r>
      <w:proofErr w:type="spellStart"/>
      <w:r>
        <w:t>nondisfiguring</w:t>
      </w:r>
      <w:proofErr w:type="spellEnd"/>
      <w:r>
        <w:t xml:space="preserve"> manner; deciduous teeth; and permanent teeth if patient care indicates a need for extraction.</w:t>
      </w:r>
    </w:p>
    <w:p w:rsidR="00D000FD" w:rsidRDefault="00D000FD" w:rsidP="00D000FD">
      <w:pPr>
        <w:numPr>
          <w:ilvl w:val="0"/>
          <w:numId w:val="3"/>
        </w:numPr>
        <w:spacing w:before="100" w:after="100"/>
      </w:pPr>
      <w:r>
        <w:t>Collection of excreta and external secretions.</w:t>
      </w:r>
    </w:p>
    <w:p w:rsidR="00D000FD" w:rsidRDefault="00D000FD" w:rsidP="00D000FD">
      <w:pPr>
        <w:numPr>
          <w:ilvl w:val="0"/>
          <w:numId w:val="4"/>
        </w:numPr>
        <w:spacing w:before="100" w:after="100"/>
      </w:pPr>
      <w:r>
        <w:t>Recording of data from subjects 18 years of age or older using noninvasive procedures routinely employed in clinical practice.</w:t>
      </w:r>
    </w:p>
    <w:p w:rsidR="00D000FD" w:rsidRDefault="00D000FD" w:rsidP="00D000FD">
      <w:pPr>
        <w:numPr>
          <w:ilvl w:val="0"/>
          <w:numId w:val="5"/>
        </w:numPr>
        <w:spacing w:before="100" w:after="100"/>
      </w:pPr>
      <w:r>
        <w:t>Collection of blood samples by venipuncture, in amounts not exceeding 450 milliliters in an eight week period and no more often than two times per week, from subjects 18 years of age or older and who are in good health and not pregnant.</w:t>
      </w:r>
    </w:p>
    <w:p w:rsidR="00D000FD" w:rsidRDefault="00D000FD" w:rsidP="00D000FD">
      <w:pPr>
        <w:numPr>
          <w:ilvl w:val="0"/>
          <w:numId w:val="6"/>
        </w:numPr>
        <w:spacing w:before="100" w:after="100"/>
      </w:pPr>
      <w:r>
        <w:t xml:space="preserve">Collection of both supra-and </w:t>
      </w:r>
      <w:proofErr w:type="spellStart"/>
      <w:r>
        <w:t>subgingival</w:t>
      </w:r>
      <w:proofErr w:type="spellEnd"/>
      <w:r>
        <w:t xml:space="preserve"> plaque and calculus provided the procedure is not more invasive than routine prophylactic scaling of the teeth and the process is accomplished in accordance with accepted prophylactic techniques.</w:t>
      </w:r>
    </w:p>
    <w:p w:rsidR="00D000FD" w:rsidRDefault="00D000FD" w:rsidP="00D000FD">
      <w:pPr>
        <w:numPr>
          <w:ilvl w:val="0"/>
          <w:numId w:val="7"/>
        </w:numPr>
        <w:spacing w:before="100" w:after="100"/>
      </w:pPr>
      <w:r>
        <w:t>Voice recording made for research purposes, such as investigation of speech defects.</w:t>
      </w:r>
    </w:p>
    <w:p w:rsidR="00D000FD" w:rsidRDefault="00D000FD" w:rsidP="00D000FD">
      <w:pPr>
        <w:numPr>
          <w:ilvl w:val="0"/>
          <w:numId w:val="8"/>
        </w:numPr>
        <w:spacing w:before="100" w:after="100"/>
      </w:pPr>
      <w:r>
        <w:t>Moderate exercise by healthy volunteers.</w:t>
      </w:r>
    </w:p>
    <w:p w:rsidR="00D000FD" w:rsidRDefault="00D000FD" w:rsidP="00D000FD">
      <w:pPr>
        <w:numPr>
          <w:ilvl w:val="0"/>
          <w:numId w:val="9"/>
        </w:numPr>
        <w:spacing w:before="100" w:after="100"/>
      </w:pPr>
      <w:r>
        <w:t>Study of existing data, documents, records, pathological specimens or diagnostic specimens.</w:t>
      </w:r>
    </w:p>
    <w:p w:rsidR="00D000FD" w:rsidRDefault="00D000FD" w:rsidP="00D000FD">
      <w:pPr>
        <w:tabs>
          <w:tab w:val="decimal" w:pos="360"/>
          <w:tab w:val="left" w:pos="540"/>
          <w:tab w:val="left" w:pos="720"/>
        </w:tabs>
        <w:rPr>
          <w:u w:val="single"/>
        </w:rPr>
      </w:pPr>
    </w:p>
    <w:p w:rsidR="00D000FD" w:rsidRDefault="00D000FD" w:rsidP="00D000FD">
      <w:pPr>
        <w:tabs>
          <w:tab w:val="decimal" w:pos="360"/>
          <w:tab w:val="left" w:pos="540"/>
          <w:tab w:val="left" w:pos="720"/>
        </w:tabs>
      </w:pPr>
      <w:r>
        <w:rPr>
          <w:u w:val="single"/>
        </w:rPr>
        <w:t>FULL REVIEW</w:t>
      </w:r>
    </w:p>
    <w:p w:rsidR="00D000FD" w:rsidRDefault="00D000FD" w:rsidP="00D000FD">
      <w:pPr>
        <w:pStyle w:val="Leading"/>
      </w:pPr>
    </w:p>
    <w:p w:rsidR="00D000FD" w:rsidRDefault="00D000FD" w:rsidP="00D000FD">
      <w:pPr>
        <w:tabs>
          <w:tab w:val="decimal" w:pos="360"/>
          <w:tab w:val="left" w:pos="540"/>
          <w:tab w:val="left" w:pos="720"/>
        </w:tabs>
      </w:pPr>
      <w:r>
        <w:t xml:space="preserve">Full committee review is required for </w:t>
      </w:r>
      <w:r>
        <w:rPr>
          <w:u w:val="single"/>
        </w:rPr>
        <w:t>all</w:t>
      </w:r>
      <w:r>
        <w:t xml:space="preserve"> research involving greater than minimal risk to subjects.  In addition, full review is required for </w:t>
      </w:r>
      <w:r>
        <w:rPr>
          <w:u w:val="single"/>
        </w:rPr>
        <w:t>all</w:t>
      </w:r>
      <w:r>
        <w:t xml:space="preserve"> research activities involving vulnerable subject populations, including fetuses, pregnant women, human in vitro fertilization, prisoners, children, elderly, and psychiatric patients.</w:t>
      </w:r>
    </w:p>
    <w:p w:rsidR="00D000FD" w:rsidRDefault="00D000FD" w:rsidP="00D000FD">
      <w:pPr>
        <w:pStyle w:val="Leading"/>
      </w:pPr>
    </w:p>
    <w:p w:rsidR="00D000FD" w:rsidRDefault="00D000FD" w:rsidP="00D000FD">
      <w:pPr>
        <w:tabs>
          <w:tab w:val="decimal" w:pos="360"/>
          <w:tab w:val="left" w:pos="540"/>
          <w:tab w:val="left" w:pos="720"/>
        </w:tabs>
      </w:pPr>
      <w:r>
        <w:t xml:space="preserve">Submit </w:t>
      </w:r>
      <w:r>
        <w:rPr>
          <w:u w:val="single"/>
        </w:rPr>
        <w:t>ONE</w:t>
      </w:r>
      <w:r>
        <w:t xml:space="preserve"> copy of the research protocol, consent form, and abstract of your research proposal.</w:t>
      </w:r>
    </w:p>
    <w:p w:rsidR="00D000FD" w:rsidRDefault="00D000FD" w:rsidP="00D000FD">
      <w:pPr>
        <w:pStyle w:val="Leading"/>
      </w:pPr>
    </w:p>
    <w:p w:rsidR="00D000FD" w:rsidRDefault="00D000FD" w:rsidP="004B3DC0"/>
    <w:sectPr w:rsidR="00D000FD" w:rsidSect="00787C37">
      <w:footerReference w:type="default" r:id="rId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D3B" w:rsidRDefault="006D4D3B" w:rsidP="006D4D3B">
      <w:r>
        <w:separator/>
      </w:r>
    </w:p>
  </w:endnote>
  <w:endnote w:type="continuationSeparator" w:id="0">
    <w:p w:rsidR="006D4D3B" w:rsidRDefault="006D4D3B" w:rsidP="006D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1B" w:rsidRDefault="00B04E1B">
    <w:pPr>
      <w:pStyle w:val="Footer"/>
    </w:pPr>
    <w:r>
      <w:t>8/27/2018</w:t>
    </w:r>
  </w:p>
  <w:p w:rsidR="006D4D3B" w:rsidRDefault="006D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D3B" w:rsidRDefault="006D4D3B" w:rsidP="006D4D3B">
      <w:r>
        <w:separator/>
      </w:r>
    </w:p>
  </w:footnote>
  <w:footnote w:type="continuationSeparator" w:id="0">
    <w:p w:rsidR="006D4D3B" w:rsidRDefault="006D4D3B" w:rsidP="006D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6B455D"/>
    <w:multiLevelType w:val="hybridMultilevel"/>
    <w:tmpl w:val="9EE6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C75C2"/>
    <w:multiLevelType w:val="singleLevel"/>
    <w:tmpl w:val="CE1A3F7C"/>
    <w:lvl w:ilvl="0">
      <w:start w:val="1"/>
      <w:numFmt w:val="decimal"/>
      <w:lvlText w:val="%1."/>
      <w:legacy w:legacy="1" w:legacySpace="0" w:legacyIndent="288"/>
      <w:lvlJc w:val="left"/>
      <w:pPr>
        <w:ind w:left="288" w:hanging="288"/>
      </w:pPr>
    </w:lvl>
  </w:abstractNum>
  <w:abstractNum w:abstractNumId="3" w15:restartNumberingAfterBreak="0">
    <w:nsid w:val="12DC296E"/>
    <w:multiLevelType w:val="hybridMultilevel"/>
    <w:tmpl w:val="3240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615E5"/>
    <w:multiLevelType w:val="hybridMultilevel"/>
    <w:tmpl w:val="DA0EF434"/>
    <w:lvl w:ilvl="0" w:tplc="98D47098">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87688"/>
    <w:multiLevelType w:val="hybridMultilevel"/>
    <w:tmpl w:val="F096539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55C68"/>
    <w:multiLevelType w:val="singleLevel"/>
    <w:tmpl w:val="A0C634D4"/>
    <w:lvl w:ilvl="0">
      <w:start w:val="1"/>
      <w:numFmt w:val="decimal"/>
      <w:lvlText w:val="%1."/>
      <w:legacy w:legacy="1" w:legacySpace="0" w:legacyIndent="288"/>
      <w:lvlJc w:val="left"/>
      <w:pPr>
        <w:ind w:left="648" w:hanging="288"/>
      </w:pPr>
    </w:lvl>
  </w:abstractNum>
  <w:abstractNum w:abstractNumId="7" w15:restartNumberingAfterBreak="0">
    <w:nsid w:val="478B6CD3"/>
    <w:multiLevelType w:val="singleLevel"/>
    <w:tmpl w:val="A0C634D4"/>
    <w:lvl w:ilvl="0">
      <w:start w:val="1"/>
      <w:numFmt w:val="decimal"/>
      <w:lvlText w:val="%1."/>
      <w:legacy w:legacy="1" w:legacySpace="0" w:legacyIndent="288"/>
      <w:lvlJc w:val="left"/>
      <w:pPr>
        <w:ind w:left="648" w:hanging="288"/>
      </w:pPr>
    </w:lvl>
  </w:abstractNum>
  <w:abstractNum w:abstractNumId="8" w15:restartNumberingAfterBreak="0">
    <w:nsid w:val="649B507A"/>
    <w:multiLevelType w:val="hybridMultilevel"/>
    <w:tmpl w:val="FC7A96C0"/>
    <w:lvl w:ilvl="0" w:tplc="DEC837F4">
      <w:start w:val="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8"/>
        <w:lvlJc w:val="left"/>
        <w:pPr>
          <w:ind w:left="1008" w:hanging="288"/>
        </w:pPr>
        <w:rPr>
          <w:rFonts w:ascii="Symbol" w:hAnsi="Symbol" w:hint="default"/>
          <w:sz w:val="14"/>
        </w:rPr>
      </w:lvl>
    </w:lvlOverride>
  </w:num>
  <w:num w:numId="2">
    <w:abstractNumId w:val="6"/>
  </w:num>
  <w:num w:numId="3">
    <w:abstractNumId w:val="6"/>
    <w:lvlOverride w:ilvl="0">
      <w:lvl w:ilvl="0">
        <w:start w:val="1"/>
        <w:numFmt w:val="decimal"/>
        <w:lvlText w:val="%1."/>
        <w:legacy w:legacy="1" w:legacySpace="0" w:legacyIndent="288"/>
        <w:lvlJc w:val="left"/>
        <w:pPr>
          <w:ind w:left="648" w:hanging="288"/>
        </w:pPr>
      </w:lvl>
    </w:lvlOverride>
  </w:num>
  <w:num w:numId="4">
    <w:abstractNumId w:val="6"/>
    <w:lvlOverride w:ilvl="0">
      <w:lvl w:ilvl="0">
        <w:start w:val="1"/>
        <w:numFmt w:val="decimal"/>
        <w:lvlText w:val="%1."/>
        <w:legacy w:legacy="1" w:legacySpace="0" w:legacyIndent="288"/>
        <w:lvlJc w:val="left"/>
        <w:pPr>
          <w:ind w:left="648" w:hanging="288"/>
        </w:pPr>
      </w:lvl>
    </w:lvlOverride>
  </w:num>
  <w:num w:numId="5">
    <w:abstractNumId w:val="6"/>
    <w:lvlOverride w:ilvl="0">
      <w:lvl w:ilvl="0">
        <w:start w:val="1"/>
        <w:numFmt w:val="decimal"/>
        <w:lvlText w:val="%1."/>
        <w:legacy w:legacy="1" w:legacySpace="0" w:legacyIndent="288"/>
        <w:lvlJc w:val="left"/>
        <w:pPr>
          <w:ind w:left="648" w:hanging="288"/>
        </w:pPr>
      </w:lvl>
    </w:lvlOverride>
  </w:num>
  <w:num w:numId="6">
    <w:abstractNumId w:val="6"/>
    <w:lvlOverride w:ilvl="0">
      <w:lvl w:ilvl="0">
        <w:start w:val="1"/>
        <w:numFmt w:val="decimal"/>
        <w:lvlText w:val="%1."/>
        <w:legacy w:legacy="1" w:legacySpace="0" w:legacyIndent="288"/>
        <w:lvlJc w:val="left"/>
        <w:pPr>
          <w:ind w:left="648" w:hanging="288"/>
        </w:pPr>
      </w:lvl>
    </w:lvlOverride>
  </w:num>
  <w:num w:numId="7">
    <w:abstractNumId w:val="6"/>
    <w:lvlOverride w:ilvl="0">
      <w:lvl w:ilvl="0">
        <w:start w:val="1"/>
        <w:numFmt w:val="decimal"/>
        <w:lvlText w:val="%1."/>
        <w:legacy w:legacy="1" w:legacySpace="0" w:legacyIndent="288"/>
        <w:lvlJc w:val="left"/>
        <w:pPr>
          <w:ind w:left="648" w:hanging="288"/>
        </w:pPr>
      </w:lvl>
    </w:lvlOverride>
  </w:num>
  <w:num w:numId="8">
    <w:abstractNumId w:val="6"/>
    <w:lvlOverride w:ilvl="0">
      <w:lvl w:ilvl="0">
        <w:start w:val="1"/>
        <w:numFmt w:val="decimal"/>
        <w:lvlText w:val="%1."/>
        <w:legacy w:legacy="1" w:legacySpace="0" w:legacyIndent="288"/>
        <w:lvlJc w:val="left"/>
        <w:pPr>
          <w:ind w:left="648" w:hanging="288"/>
        </w:pPr>
      </w:lvl>
    </w:lvlOverride>
  </w:num>
  <w:num w:numId="9">
    <w:abstractNumId w:val="6"/>
    <w:lvlOverride w:ilvl="0">
      <w:lvl w:ilvl="0">
        <w:start w:val="1"/>
        <w:numFmt w:val="decimal"/>
        <w:lvlText w:val="%1."/>
        <w:legacy w:legacy="1" w:legacySpace="0" w:legacyIndent="288"/>
        <w:lvlJc w:val="left"/>
        <w:pPr>
          <w:ind w:left="648" w:hanging="288"/>
        </w:pPr>
      </w:lvl>
    </w:lvlOverride>
  </w:num>
  <w:num w:numId="10">
    <w:abstractNumId w:val="6"/>
    <w:lvlOverride w:ilvl="0">
      <w:lvl w:ilvl="0">
        <w:start w:val="1"/>
        <w:numFmt w:val="decimal"/>
        <w:lvlText w:val="%1."/>
        <w:legacy w:legacy="1" w:legacySpace="0" w:legacyIndent="288"/>
        <w:lvlJc w:val="left"/>
        <w:pPr>
          <w:ind w:left="648" w:hanging="288"/>
        </w:pPr>
      </w:lvl>
    </w:lvlOverride>
  </w:num>
  <w:num w:numId="11">
    <w:abstractNumId w:val="6"/>
    <w:lvlOverride w:ilvl="0">
      <w:lvl w:ilvl="0">
        <w:start w:val="1"/>
        <w:numFmt w:val="decimal"/>
        <w:lvlText w:val="%1."/>
        <w:legacy w:legacy="1" w:legacySpace="0" w:legacyIndent="288"/>
        <w:lvlJc w:val="left"/>
        <w:pPr>
          <w:ind w:left="648" w:hanging="288"/>
        </w:pPr>
      </w:lvl>
    </w:lvlOverride>
  </w:num>
  <w:num w:numId="12">
    <w:abstractNumId w:val="2"/>
  </w:num>
  <w:num w:numId="13">
    <w:abstractNumId w:val="2"/>
    <w:lvlOverride w:ilvl="0">
      <w:lvl w:ilvl="0">
        <w:start w:val="1"/>
        <w:numFmt w:val="decimal"/>
        <w:lvlText w:val="%1."/>
        <w:legacy w:legacy="1" w:legacySpace="0" w:legacyIndent="288"/>
        <w:lvlJc w:val="left"/>
        <w:pPr>
          <w:ind w:left="288" w:hanging="288"/>
        </w:pPr>
      </w:lvl>
    </w:lvlOverride>
  </w:num>
  <w:num w:numId="14">
    <w:abstractNumId w:val="2"/>
    <w:lvlOverride w:ilvl="0">
      <w:lvl w:ilvl="0">
        <w:start w:val="1"/>
        <w:numFmt w:val="decimal"/>
        <w:lvlText w:val="%1."/>
        <w:legacy w:legacy="1" w:legacySpace="0" w:legacyIndent="288"/>
        <w:lvlJc w:val="left"/>
        <w:pPr>
          <w:ind w:left="288" w:hanging="288"/>
        </w:pPr>
      </w:lvl>
    </w:lvlOverride>
  </w:num>
  <w:num w:numId="15">
    <w:abstractNumId w:val="2"/>
    <w:lvlOverride w:ilvl="0">
      <w:lvl w:ilvl="0">
        <w:start w:val="1"/>
        <w:numFmt w:val="decimal"/>
        <w:lvlText w:val="%1."/>
        <w:legacy w:legacy="1" w:legacySpace="0" w:legacyIndent="288"/>
        <w:lvlJc w:val="left"/>
        <w:pPr>
          <w:ind w:left="288" w:hanging="288"/>
        </w:pPr>
      </w:lvl>
    </w:lvlOverride>
  </w:num>
  <w:num w:numId="16">
    <w:abstractNumId w:val="2"/>
    <w:lvlOverride w:ilvl="0">
      <w:lvl w:ilvl="0">
        <w:start w:val="1"/>
        <w:numFmt w:val="decimal"/>
        <w:lvlText w:val="%1."/>
        <w:legacy w:legacy="1" w:legacySpace="0" w:legacyIndent="288"/>
        <w:lvlJc w:val="left"/>
        <w:pPr>
          <w:ind w:left="288" w:hanging="288"/>
        </w:pPr>
      </w:lvl>
    </w:lvlOverride>
  </w:num>
  <w:num w:numId="17">
    <w:abstractNumId w:val="2"/>
    <w:lvlOverride w:ilvl="0">
      <w:lvl w:ilvl="0">
        <w:start w:val="1"/>
        <w:numFmt w:val="decimal"/>
        <w:lvlText w:val="%1."/>
        <w:legacy w:legacy="1" w:legacySpace="0" w:legacyIndent="288"/>
        <w:lvlJc w:val="left"/>
        <w:pPr>
          <w:ind w:left="288" w:hanging="288"/>
        </w:pPr>
      </w:lvl>
    </w:lvlOverride>
  </w:num>
  <w:num w:numId="18">
    <w:abstractNumId w:val="1"/>
  </w:num>
  <w:num w:numId="19">
    <w:abstractNumId w:val="3"/>
  </w:num>
  <w:num w:numId="20">
    <w:abstractNumId w:val="8"/>
  </w:num>
  <w:num w:numId="21">
    <w:abstractNumId w:val="4"/>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44"/>
    <w:rsid w:val="00016F05"/>
    <w:rsid w:val="00070536"/>
    <w:rsid w:val="00105711"/>
    <w:rsid w:val="001D2ED0"/>
    <w:rsid w:val="00315AA3"/>
    <w:rsid w:val="003475D2"/>
    <w:rsid w:val="004B3DC0"/>
    <w:rsid w:val="00560BD1"/>
    <w:rsid w:val="00610D04"/>
    <w:rsid w:val="006D4D3B"/>
    <w:rsid w:val="00787C37"/>
    <w:rsid w:val="00812544"/>
    <w:rsid w:val="00857279"/>
    <w:rsid w:val="009D2C15"/>
    <w:rsid w:val="00B04E1B"/>
    <w:rsid w:val="00D000FD"/>
    <w:rsid w:val="00FA7468"/>
    <w:rsid w:val="00FF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6DCD"/>
  <w15:chartTrackingRefBased/>
  <w15:docId w15:val="{AB2AE947-9BDE-45E5-A63A-8AAADFD5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54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ing">
    <w:name w:val="Leading"/>
    <w:basedOn w:val="Normal"/>
    <w:rsid w:val="00812544"/>
    <w:pPr>
      <w:tabs>
        <w:tab w:val="decimal" w:pos="360"/>
        <w:tab w:val="left" w:pos="540"/>
        <w:tab w:val="left" w:pos="720"/>
        <w:tab w:val="left" w:pos="990"/>
      </w:tabs>
      <w:spacing w:line="120" w:lineRule="auto"/>
    </w:pPr>
  </w:style>
  <w:style w:type="table" w:styleId="TableGrid">
    <w:name w:val="Table Grid"/>
    <w:basedOn w:val="TableNormal"/>
    <w:uiPriority w:val="39"/>
    <w:rsid w:val="004B3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536"/>
    <w:pPr>
      <w:ind w:left="720"/>
      <w:contextualSpacing/>
    </w:pPr>
  </w:style>
  <w:style w:type="paragraph" w:styleId="Header">
    <w:name w:val="header"/>
    <w:basedOn w:val="Normal"/>
    <w:link w:val="HeaderChar"/>
    <w:uiPriority w:val="99"/>
    <w:unhideWhenUsed/>
    <w:rsid w:val="006D4D3B"/>
    <w:pPr>
      <w:tabs>
        <w:tab w:val="center" w:pos="4680"/>
        <w:tab w:val="right" w:pos="9360"/>
      </w:tabs>
    </w:pPr>
  </w:style>
  <w:style w:type="character" w:customStyle="1" w:styleId="HeaderChar">
    <w:name w:val="Header Char"/>
    <w:basedOn w:val="DefaultParagraphFont"/>
    <w:link w:val="Header"/>
    <w:uiPriority w:val="99"/>
    <w:rsid w:val="006D4D3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D4D3B"/>
    <w:pPr>
      <w:tabs>
        <w:tab w:val="center" w:pos="4680"/>
        <w:tab w:val="right" w:pos="9360"/>
      </w:tabs>
    </w:pPr>
  </w:style>
  <w:style w:type="character" w:customStyle="1" w:styleId="FooterChar">
    <w:name w:val="Footer Char"/>
    <w:basedOn w:val="DefaultParagraphFont"/>
    <w:link w:val="Footer"/>
    <w:uiPriority w:val="99"/>
    <w:rsid w:val="006D4D3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Steiner</dc:creator>
  <cp:keywords/>
  <dc:description/>
  <cp:lastModifiedBy>Lori Steiner</cp:lastModifiedBy>
  <cp:revision>4</cp:revision>
  <dcterms:created xsi:type="dcterms:W3CDTF">2018-08-27T20:09:00Z</dcterms:created>
  <dcterms:modified xsi:type="dcterms:W3CDTF">2018-09-11T13:35:00Z</dcterms:modified>
</cp:coreProperties>
</file>